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="方正小标宋简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bCs/>
          <w:kern w:val="0"/>
          <w:sz w:val="32"/>
          <w:szCs w:val="32"/>
        </w:rPr>
        <w:t>首都师范大学数学科学学院学术</w:t>
      </w:r>
      <w:r>
        <w:rPr>
          <w:rFonts w:hint="eastAsia" w:ascii="Times New Roman" w:hAnsi="Times New Roman" w:eastAsia="方正小标宋简体"/>
          <w:b/>
          <w:bCs/>
          <w:kern w:val="0"/>
          <w:sz w:val="32"/>
          <w:szCs w:val="32"/>
          <w:lang w:val="en-US" w:eastAsia="zh-CN"/>
        </w:rPr>
        <w:t>型</w:t>
      </w:r>
      <w:bookmarkStart w:id="0" w:name="_GoBack"/>
      <w:bookmarkEnd w:id="0"/>
      <w:r>
        <w:rPr>
          <w:rFonts w:hint="eastAsia" w:ascii="Times New Roman" w:hAnsi="Times New Roman" w:eastAsia="方正小标宋简体"/>
          <w:b/>
          <w:bCs/>
          <w:kern w:val="0"/>
          <w:sz w:val="32"/>
          <w:szCs w:val="32"/>
        </w:rPr>
        <w:t>硕士研究生培养方案</w:t>
      </w:r>
    </w:p>
    <w:p>
      <w:pPr>
        <w:spacing w:line="288" w:lineRule="auto"/>
        <w:rPr>
          <w:rFonts w:ascii="黑体" w:eastAsia="黑体"/>
          <w:sz w:val="24"/>
        </w:rPr>
      </w:pPr>
    </w:p>
    <w:p>
      <w:pPr>
        <w:spacing w:line="288" w:lineRule="auto"/>
        <w:rPr>
          <w:rFonts w:ascii="黑体" w:eastAsia="黑体"/>
          <w:color w:val="000000" w:themeColor="text1"/>
          <w:sz w:val="24"/>
        </w:rPr>
      </w:pPr>
      <w:r>
        <w:rPr>
          <w:rFonts w:hint="eastAsia" w:ascii="黑体" w:eastAsia="黑体"/>
          <w:color w:val="000000" w:themeColor="text1"/>
          <w:sz w:val="24"/>
        </w:rPr>
        <w:t>学科名称：统计学     （英文：Statistics）</w:t>
      </w:r>
    </w:p>
    <w:p>
      <w:pPr>
        <w:spacing w:line="288" w:lineRule="auto"/>
        <w:rPr>
          <w:rFonts w:ascii="黑体" w:eastAsia="黑体"/>
          <w:color w:val="000000" w:themeColor="text1"/>
          <w:sz w:val="24"/>
        </w:rPr>
      </w:pPr>
      <w:r>
        <w:rPr>
          <w:rFonts w:hint="eastAsia" w:ascii="黑体" w:eastAsia="黑体"/>
          <w:color w:val="000000" w:themeColor="text1"/>
          <w:sz w:val="24"/>
        </w:rPr>
        <w:t>学科代码：</w:t>
      </w:r>
      <w:r>
        <w:rPr>
          <w:rFonts w:ascii="黑体" w:eastAsia="黑体"/>
          <w:color w:val="000000" w:themeColor="text1"/>
          <w:sz w:val="24"/>
        </w:rPr>
        <w:t>07</w:t>
      </w:r>
      <w:r>
        <w:rPr>
          <w:rFonts w:hint="eastAsia" w:ascii="黑体" w:eastAsia="黑体"/>
          <w:color w:val="000000" w:themeColor="text1"/>
          <w:sz w:val="24"/>
        </w:rPr>
        <w:t>14</w:t>
      </w:r>
      <w:r>
        <w:rPr>
          <w:rFonts w:ascii="黑体" w:eastAsia="黑体"/>
          <w:color w:val="000000" w:themeColor="text1"/>
          <w:sz w:val="24"/>
        </w:rPr>
        <w:t>00</w:t>
      </w:r>
      <w:r>
        <w:rPr>
          <w:rFonts w:hint="eastAsia" w:ascii="黑体" w:eastAsia="黑体"/>
          <w:color w:val="000000" w:themeColor="text1"/>
          <w:sz w:val="24"/>
        </w:rPr>
        <w:t>                                              </w:t>
      </w:r>
    </w:p>
    <w:p>
      <w:pPr>
        <w:spacing w:line="288" w:lineRule="auto"/>
        <w:rPr>
          <w:rFonts w:ascii="黑体" w:eastAsia="黑体"/>
          <w:color w:val="000000"/>
          <w:sz w:val="30"/>
          <w:szCs w:val="30"/>
        </w:rPr>
      </w:pPr>
    </w:p>
    <w:p>
      <w:pPr>
        <w:spacing w:line="288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一、培养目标</w:t>
      </w:r>
    </w:p>
    <w:p>
      <w:pPr>
        <w:spacing w:line="288" w:lineRule="auto"/>
        <w:ind w:firstLine="48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掌握统计学科和数学学科宽广的基础理论和较深入系统的专门知识；熟悉统计学科有关领域的前沿动态；掌握必要的相关学科知识；具有初步独立从事统计学及相关学科科学研究的能力。</w:t>
      </w:r>
    </w:p>
    <w:p>
      <w:pPr>
        <w:spacing w:line="288" w:lineRule="auto"/>
        <w:ind w:firstLine="48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学位课包括：</w:t>
      </w:r>
    </w:p>
    <w:p>
      <w:pPr>
        <w:spacing w:line="288" w:lineRule="auto"/>
        <w:ind w:firstLine="525" w:firstLineChars="25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szCs w:val="21"/>
        </w:rPr>
        <w:t>中国特色社会主义理论与实践研究、马克思主义与社会科学方法论、自然辩证法概论、学位外语、</w:t>
      </w:r>
      <w:r>
        <w:rPr>
          <w:rFonts w:hint="eastAsia" w:ascii="宋体" w:hAnsi="宋体"/>
          <w:color w:val="000000" w:themeColor="text1"/>
          <w:szCs w:val="21"/>
        </w:rPr>
        <w:t>高等统计学、高等概率论、最优化理论与算法、数据挖据与机器学习、多元统计分析、随机过程</w:t>
      </w:r>
    </w:p>
    <w:p>
      <w:pPr>
        <w:spacing w:line="288" w:lineRule="auto"/>
        <w:rPr>
          <w:rFonts w:ascii="黑体" w:eastAsia="黑体"/>
          <w:color w:val="000000"/>
          <w:sz w:val="30"/>
          <w:szCs w:val="30"/>
        </w:rPr>
      </w:pPr>
    </w:p>
    <w:p>
      <w:pPr>
        <w:spacing w:line="288" w:lineRule="auto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二、研究方向</w:t>
      </w:r>
    </w:p>
    <w:p>
      <w:pPr>
        <w:spacing w:line="288" w:lineRule="auto"/>
        <w:ind w:firstLine="422" w:firstLineChars="200"/>
        <w:rPr>
          <w:rFonts w:ascii="Times New Roman" w:hAnsi="Times New Roman"/>
          <w:b/>
          <w:color w:val="000000" w:themeColor="text1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</w:t>
      </w:r>
      <w:r>
        <w:rPr>
          <w:rFonts w:ascii="Times New Roman" w:hAnsi="Times New Roman"/>
          <w:b/>
          <w:color w:val="000000" w:themeColor="text1"/>
          <w:kern w:val="0"/>
          <w:szCs w:val="21"/>
        </w:rPr>
        <w:t>1</w:t>
      </w: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）</w:t>
      </w:r>
      <w:r>
        <w:rPr>
          <w:rFonts w:hint="eastAsia" w:ascii="Times New Roman" w:hAnsi="Times New Roman"/>
          <w:color w:val="000000"/>
          <w:kern w:val="0"/>
          <w:szCs w:val="21"/>
        </w:rPr>
        <w:t>稳健与高维统计</w:t>
      </w:r>
    </w:p>
    <w:p>
      <w:pPr>
        <w:spacing w:line="288" w:lineRule="auto"/>
        <w:ind w:firstLine="422" w:firstLine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（2）</w:t>
      </w:r>
      <w:r>
        <w:rPr>
          <w:rFonts w:hint="eastAsia" w:ascii="Times New Roman" w:hAnsi="Times New Roman"/>
          <w:color w:val="000000"/>
          <w:kern w:val="0"/>
          <w:szCs w:val="21"/>
        </w:rPr>
        <w:t>生物医学统计</w:t>
      </w:r>
    </w:p>
    <w:p>
      <w:pPr>
        <w:spacing w:line="288" w:lineRule="auto"/>
        <w:ind w:firstLine="422" w:firstLine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（3）</w:t>
      </w:r>
      <w:r>
        <w:rPr>
          <w:rFonts w:hint="eastAsia" w:ascii="Times New Roman" w:hAnsi="Times New Roman"/>
          <w:color w:val="000000"/>
          <w:kern w:val="0"/>
          <w:szCs w:val="21"/>
        </w:rPr>
        <w:t>随机过程与控制</w:t>
      </w:r>
    </w:p>
    <w:p>
      <w:pPr>
        <w:spacing w:line="288" w:lineRule="auto"/>
        <w:ind w:firstLine="422" w:firstLineChars="200"/>
        <w:rPr>
          <w:rFonts w:ascii="Times New Roman" w:hAnsi="Times New Roman"/>
          <w:b/>
          <w:color w:val="000000" w:themeColor="text1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</w:t>
      </w:r>
      <w:r>
        <w:rPr>
          <w:rFonts w:ascii="Times New Roman" w:hAnsi="Times New Roman"/>
          <w:b/>
          <w:color w:val="000000" w:themeColor="text1"/>
          <w:kern w:val="0"/>
          <w:szCs w:val="21"/>
        </w:rPr>
        <w:t>4</w:t>
      </w: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）</w:t>
      </w:r>
      <w:r>
        <w:rPr>
          <w:rFonts w:hint="eastAsia" w:ascii="Times New Roman" w:hAnsi="Times New Roman"/>
          <w:color w:val="000000"/>
          <w:kern w:val="0"/>
          <w:szCs w:val="21"/>
        </w:rPr>
        <w:t>管理统计</w:t>
      </w:r>
    </w:p>
    <w:p>
      <w:pPr>
        <w:spacing w:line="288" w:lineRule="auto"/>
        <w:ind w:firstLine="422" w:firstLine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（5）</w:t>
      </w:r>
      <w:r>
        <w:rPr>
          <w:rFonts w:hint="eastAsia" w:ascii="Times New Roman" w:hAnsi="Times New Roman"/>
          <w:color w:val="000000"/>
          <w:kern w:val="0"/>
          <w:szCs w:val="21"/>
        </w:rPr>
        <w:t>统计机器学习</w:t>
      </w:r>
    </w:p>
    <w:p>
      <w:pPr>
        <w:spacing w:line="288" w:lineRule="auto"/>
        <w:ind w:firstLine="422" w:firstLine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（6）</w:t>
      </w:r>
      <w:r>
        <w:rPr>
          <w:rFonts w:hint="eastAsia" w:ascii="Times New Roman" w:hAnsi="Times New Roman"/>
          <w:color w:val="000000"/>
          <w:kern w:val="0"/>
          <w:szCs w:val="21"/>
        </w:rPr>
        <w:t>渗流与离散概率模型</w:t>
      </w:r>
    </w:p>
    <w:p>
      <w:pPr>
        <w:spacing w:line="288" w:lineRule="auto"/>
        <w:ind w:firstLine="422" w:firstLineChars="200"/>
        <w:rPr>
          <w:rFonts w:ascii="Times New Roman" w:hAnsi="Times New Roman"/>
          <w:b/>
          <w:color w:val="000000" w:themeColor="text1"/>
          <w:kern w:val="0"/>
          <w:szCs w:val="21"/>
        </w:rPr>
      </w:pPr>
      <w:r>
        <w:rPr>
          <w:rFonts w:hint="eastAsia" w:ascii="Times New Roman" w:hAnsi="Times New Roman"/>
          <w:b/>
          <w:color w:val="000000" w:themeColor="text1"/>
          <w:kern w:val="0"/>
          <w:szCs w:val="21"/>
        </w:rPr>
        <w:t>（7）</w:t>
      </w:r>
      <w:r>
        <w:rPr>
          <w:rFonts w:hint="eastAsia" w:ascii="Times New Roman" w:hAnsi="Times New Roman"/>
          <w:color w:val="000000"/>
          <w:kern w:val="0"/>
          <w:szCs w:val="21"/>
        </w:rPr>
        <w:t>统计模型选择与平均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288" w:lineRule="auto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黑体"/>
          <w:color w:val="000000"/>
          <w:sz w:val="24"/>
        </w:rPr>
        <w:t>三、基准学制、学习年限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硕士生基准学制为三年，最长学习年限为</w:t>
      </w:r>
      <w:r>
        <w:rPr>
          <w:rFonts w:hint="eastAsia" w:ascii="Times New Roman" w:hAnsi="Times New Roman"/>
          <w:color w:val="000000"/>
          <w:szCs w:val="21"/>
        </w:rPr>
        <w:t>五</w:t>
      </w:r>
      <w:r>
        <w:rPr>
          <w:rFonts w:ascii="Times New Roman" w:hAnsi="Times New Roman"/>
          <w:color w:val="000000"/>
          <w:szCs w:val="21"/>
        </w:rPr>
        <w:t>年</w:t>
      </w:r>
      <w:r>
        <w:rPr>
          <w:rFonts w:hint="eastAsia" w:ascii="Times New Roman" w:hAnsi="Times New Roman"/>
          <w:color w:val="000000"/>
          <w:szCs w:val="21"/>
        </w:rPr>
        <w:t>，休学及保留学籍时间计入学习年限。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四、课程设置</w:t>
      </w:r>
      <w:r>
        <w:rPr>
          <w:rFonts w:hint="eastAsia" w:ascii="黑体" w:eastAsia="黑体"/>
          <w:sz w:val="24"/>
        </w:rPr>
        <w:t>与学分要求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课程设置和教学进度按三年基准学制安排。课程类别分为学位课、研究方向课</w:t>
      </w:r>
      <w:r>
        <w:rPr>
          <w:rFonts w:hint="eastAsia" w:ascii="Times New Roman" w:hAnsi="Times New Roman"/>
          <w:color w:val="000000"/>
          <w:szCs w:val="21"/>
        </w:rPr>
        <w:t>两</w:t>
      </w:r>
      <w:r>
        <w:rPr>
          <w:rFonts w:ascii="Times New Roman" w:hAnsi="Times New Roman"/>
          <w:color w:val="000000"/>
          <w:szCs w:val="21"/>
        </w:rPr>
        <w:t>类。（具体课程信息填写在《硕士研究生培养方案课程设置表》）。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总学分为3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学分（18学时/学分）。其中课程学习1</w:t>
      </w:r>
      <w:r>
        <w:rPr>
          <w:rFonts w:hint="eastAsia" w:ascii="Times New Roman" w:hAnsi="Times New Roman"/>
          <w:color w:val="000000"/>
          <w:szCs w:val="21"/>
        </w:rPr>
        <w:t>至</w:t>
      </w:r>
      <w:r>
        <w:rPr>
          <w:rFonts w:ascii="Times New Roman" w:hAnsi="Times New Roman"/>
          <w:color w:val="000000"/>
          <w:szCs w:val="21"/>
        </w:rPr>
        <w:t>1.5年（以课程学习、实践为主，兼顾论文的前期工作），学位论文工作时间一般不少于1年</w:t>
      </w:r>
      <w:r>
        <w:rPr>
          <w:rFonts w:hint="eastAsia" w:ascii="Times New Roman" w:hAnsi="Times New Roman"/>
          <w:color w:val="000000"/>
          <w:szCs w:val="21"/>
        </w:rPr>
        <w:t>，论文</w:t>
      </w:r>
      <w:r>
        <w:rPr>
          <w:rFonts w:hint="eastAsia"/>
        </w:rPr>
        <w:t>开题由导师负责，硕士生应在第二学年结束之前完成开题</w:t>
      </w:r>
      <w:r>
        <w:rPr>
          <w:rFonts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color w:val="000000"/>
          <w:szCs w:val="21"/>
        </w:rPr>
        <w:t>公共课9学分，专业基础</w:t>
      </w:r>
      <w:r>
        <w:rPr>
          <w:rFonts w:ascii="Times New Roman" w:hAnsi="Times New Roman"/>
          <w:color w:val="000000"/>
          <w:szCs w:val="21"/>
        </w:rPr>
        <w:t>课</w:t>
      </w:r>
      <w:r>
        <w:rPr>
          <w:rFonts w:hint="eastAsia" w:ascii="Times New Roman" w:hAnsi="Times New Roman"/>
          <w:color w:val="000000"/>
          <w:szCs w:val="21"/>
        </w:rPr>
        <w:t>至少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学分（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门课*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），</w:t>
      </w:r>
      <w:r>
        <w:rPr>
          <w:rFonts w:hint="eastAsia" w:ascii="Times New Roman" w:hAnsi="Times New Roman"/>
          <w:color w:val="000000"/>
          <w:szCs w:val="21"/>
        </w:rPr>
        <w:t>专业</w:t>
      </w:r>
      <w:r>
        <w:rPr>
          <w:rFonts w:ascii="Times New Roman" w:hAnsi="Times New Roman"/>
          <w:color w:val="000000"/>
          <w:szCs w:val="21"/>
        </w:rPr>
        <w:t>方向课</w:t>
      </w:r>
      <w:r>
        <w:rPr>
          <w:rFonts w:hint="eastAsia"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学分（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门课*3）</w:t>
      </w:r>
      <w:r>
        <w:rPr>
          <w:rFonts w:hint="eastAsia" w:ascii="Times New Roman" w:hAnsi="Times New Roman"/>
          <w:color w:val="000000"/>
          <w:szCs w:val="21"/>
        </w:rPr>
        <w:t>，必修环节4学分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提前修满学分、完成学位论文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达到学校和本学科规定条件</w:t>
      </w:r>
      <w:r>
        <w:rPr>
          <w:rFonts w:hint="eastAsia" w:ascii="Times New Roman" w:hAnsi="Times New Roman"/>
          <w:color w:val="000000"/>
          <w:szCs w:val="21"/>
        </w:rPr>
        <w:t>并在核心期刊发表一篇学术论文</w:t>
      </w:r>
      <w:r>
        <w:rPr>
          <w:rFonts w:ascii="Times New Roman" w:hAnsi="Times New Roman"/>
          <w:color w:val="000000"/>
          <w:szCs w:val="21"/>
        </w:rPr>
        <w:t>的硕士生，可申请提前答辩和毕业。</w:t>
      </w:r>
    </w:p>
    <w:p>
      <w:pPr>
        <w:spacing w:line="288" w:lineRule="auto"/>
        <w:rPr>
          <w:rFonts w:ascii="黑体" w:eastAsia="黑体"/>
          <w:color w:val="000000"/>
          <w:sz w:val="30"/>
          <w:szCs w:val="30"/>
        </w:rPr>
      </w:pPr>
    </w:p>
    <w:p>
      <w:pPr>
        <w:spacing w:line="288" w:lineRule="auto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黑体"/>
          <w:color w:val="000000"/>
          <w:sz w:val="24"/>
        </w:rPr>
        <w:t>五、</w:t>
      </w:r>
      <w:r>
        <w:rPr>
          <w:rFonts w:hint="eastAsia" w:ascii="Times New Roman" w:hAnsi="Times New Roman" w:eastAsia="黑体"/>
          <w:color w:val="000000"/>
          <w:sz w:val="24"/>
        </w:rPr>
        <w:t>必修</w:t>
      </w:r>
      <w:r>
        <w:rPr>
          <w:rFonts w:ascii="Times New Roman" w:hAnsi="Times New Roman" w:eastAsia="黑体"/>
          <w:color w:val="000000"/>
          <w:sz w:val="24"/>
        </w:rPr>
        <w:t>环节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教学实践：参加助教、助管或助研实践活动，时间不少于一个学期，2学分；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参加学术活动（参加学术会议，听学术报告和学术讲座），时间不少于10个小时，1学分；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开题报告</w:t>
      </w:r>
      <w:r>
        <w:rPr>
          <w:rFonts w:hint="eastAsia" w:ascii="Times New Roman" w:hAnsi="Times New Roman"/>
          <w:bCs/>
          <w:color w:val="000000"/>
          <w:szCs w:val="21"/>
        </w:rPr>
        <w:t>与中期考核</w:t>
      </w:r>
      <w:r>
        <w:rPr>
          <w:rFonts w:ascii="Times New Roman" w:hAnsi="Times New Roman"/>
          <w:bCs/>
          <w:color w:val="000000"/>
          <w:szCs w:val="21"/>
        </w:rPr>
        <w:t>，1学分。</w:t>
      </w:r>
    </w:p>
    <w:p>
      <w:pPr>
        <w:pStyle w:val="13"/>
        <w:spacing w:line="288" w:lineRule="auto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</w:rPr>
        <w:t>研究生中期考核是对研究生思想政治表现与社会实践、课程学习和科研能力等的综合考查。</w:t>
      </w:r>
      <w:r>
        <w:rPr>
          <w:rFonts w:ascii="Times New Roman" w:hAnsi="Times New Roman"/>
          <w:color w:val="000000"/>
          <w:szCs w:val="21"/>
        </w:rPr>
        <w:t>考核成绩可作为评定研究生奖学金、免试推荐攻读博士研究生的</w:t>
      </w:r>
      <w:r>
        <w:rPr>
          <w:rFonts w:hint="eastAsia" w:ascii="Times New Roman" w:hAnsi="Times New Roman"/>
          <w:color w:val="000000"/>
          <w:szCs w:val="21"/>
        </w:rPr>
        <w:t>重要</w:t>
      </w:r>
      <w:r>
        <w:rPr>
          <w:rFonts w:ascii="Times New Roman" w:hAnsi="Times New Roman"/>
          <w:color w:val="000000"/>
          <w:szCs w:val="21"/>
        </w:rPr>
        <w:t>依据。</w:t>
      </w:r>
      <w:r>
        <w:rPr>
          <w:rFonts w:hint="eastAsia" w:ascii="Times New Roman" w:hAnsi="Times New Roman"/>
          <w:color w:val="000000"/>
          <w:szCs w:val="21"/>
        </w:rPr>
        <w:t>中期考核在第三学期末（最迟不超过第四学期）完成，可与硕士论文开题相结合进行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中期考核主要包括：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1、思政情况与社会实践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入学以来的思想政治表现、参与社会实践情况等。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2、课程学习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研究生培养方案内课程成绩是否合格、是否完成培养方案规定的课程学分等。</w:t>
      </w:r>
    </w:p>
    <w:p>
      <w:pPr>
        <w:pStyle w:val="13"/>
        <w:spacing w:line="288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3、科研能力</w:t>
      </w:r>
    </w:p>
    <w:p>
      <w:pPr>
        <w:pStyle w:val="13"/>
        <w:spacing w:line="288" w:lineRule="auto"/>
        <w:ind w:firstLineChars="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由数学学位分委员根据学科方向组成中期考核小组实施考核，每一考核小组由不少于3名正式教师组成，其中至少含一名正高职称教师。研究生需以报告形式汇报本人课程学习完成情况，经典与前沿文献阅读情况、论文研究进展、学术报告、已发表成果等。中期考核分及格和不及格两种成绩。中期不及格者，不得申请硕士学位。中期考核小组中所有成员认为考核成绩不及格，即视作不及格。考核小组成员之间对研究生考核成绩评判产生重大分歧时，由学位分委员会作出仲裁。</w:t>
      </w:r>
    </w:p>
    <w:p>
      <w:pPr>
        <w:spacing w:line="288" w:lineRule="auto"/>
        <w:rPr>
          <w:rFonts w:ascii="黑体" w:eastAsia="黑体"/>
          <w:color w:val="000000"/>
          <w:sz w:val="30"/>
          <w:szCs w:val="30"/>
        </w:rPr>
      </w:pPr>
    </w:p>
    <w:p>
      <w:pPr>
        <w:spacing w:line="288" w:lineRule="auto"/>
        <w:rPr>
          <w:rFonts w:ascii="宋体"/>
          <w:szCs w:val="21"/>
        </w:rPr>
      </w:pPr>
      <w:r>
        <w:rPr>
          <w:rFonts w:hint="eastAsia" w:ascii="黑体" w:eastAsia="黑体"/>
          <w:sz w:val="24"/>
        </w:rPr>
        <w:t>六、学位论文环节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按照《首都师范大学学位授予工作细则（试行）》执行。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基本要求：硕士学位论文选题应在理论或实际应用方面具有一定意义；论文应包含作者对研究课题的新见解，要有正确的理论指导，结论正确，资料和数据可靠，论证和计算准确，文字通顺，条理分明，表明作者已具备从事科学研究或担负专门技术工作的能力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硕士学位论文开题报告原则上应在第三学期结束前（最迟不超过第四学期）完成。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硕士学位论文字数一般不少于20000字，中外文摘要一般不超过1000字（词）。</w:t>
      </w:r>
    </w:p>
    <w:p>
      <w:pPr>
        <w:spacing w:line="288" w:lineRule="auto"/>
        <w:rPr>
          <w:rFonts w:ascii="黑体" w:eastAsia="黑体"/>
          <w:color w:val="000000"/>
          <w:sz w:val="30"/>
          <w:szCs w:val="30"/>
        </w:rPr>
      </w:pPr>
    </w:p>
    <w:p>
      <w:pPr>
        <w:spacing w:line="288" w:lineRule="auto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黑体"/>
          <w:color w:val="000000"/>
          <w:sz w:val="24"/>
        </w:rPr>
        <w:t>七、</w:t>
      </w:r>
      <w:r>
        <w:rPr>
          <w:rFonts w:hint="eastAsia" w:ascii="Times New Roman" w:hAnsi="Times New Roman" w:eastAsia="黑体"/>
          <w:color w:val="000000"/>
          <w:sz w:val="24"/>
        </w:rPr>
        <w:t>其他</w:t>
      </w:r>
    </w:p>
    <w:p>
      <w:pPr>
        <w:spacing w:line="288" w:lineRule="auto"/>
        <w:ind w:firstLine="413" w:firstLineChars="196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</w:rPr>
        <w:t>1.科学研究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研究生采取导师负责制，导师与教研室（或导师组）集体培养相结合，充分发挥研究生的主动性和导师的主导作用。导师应全面负责研究生的学习、科研，与研究生辅导员一同进行思想政治教育，导师根据本专业和研究生个体特点制定具体培养计划，以保证研究生的培养质量。导师组应与导师共同做好研究生的培养和管理工作，认真搞好专业课的教学，按时组织研究生进行专业外语的考核，组织开题报告，安排教学实践，组织研究生定期参加有关学术活动，指导研究生在学术刊物上发表文章。</w:t>
      </w:r>
    </w:p>
    <w:p>
      <w:pPr>
        <w:spacing w:line="288" w:lineRule="auto"/>
        <w:ind w:firstLine="413" w:firstLineChars="196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</w:rPr>
        <w:t>2.</w:t>
      </w:r>
      <w:r>
        <w:rPr>
          <w:rFonts w:ascii="Times New Roman" w:hAnsi="Times New Roman"/>
          <w:b/>
          <w:color w:val="000000"/>
          <w:kern w:val="0"/>
          <w:szCs w:val="21"/>
        </w:rPr>
        <w:t>培养方式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研究生的培养采取系统理论学习、进行科学研究、参加实践活动相结合的方式。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研究生采取导师负责制，导师与教研室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或导师组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集体培养相结合，充分发挥研究生的主动性和导师的主导作用。导师应全面负责研究生的学习、科研和思想政治教育，并根据本专业和研究生个体特点制定具体培养计划，以保证研究生的培养质量。导师组应与导师共同做好研究生的培养和管理工作，认真搞好专业课的教学，按时组织研究生进行专业外语的考核，组织开题报告，安排教学实践，组织研究生定期参加有关学术活动，指导研究生在学术刊物上发表文章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</w:t>
      </w:r>
      <w:r>
        <w:rPr>
          <w:rFonts w:ascii="Times New Roman" w:hAnsi="Times New Roman"/>
          <w:szCs w:val="21"/>
        </w:rPr>
        <w:t>研究生入学后的第一学年以公共课和基础理论课学习为主，同时应进入专业课学习。</w:t>
      </w:r>
    </w:p>
    <w:p>
      <w:pPr>
        <w:spacing w:line="288" w:lineRule="auto"/>
        <w:ind w:firstLine="413" w:firstLineChars="196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</w:rPr>
        <w:t>2.其他规定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其它未尽事宜</w:t>
      </w:r>
      <w:r>
        <w:rPr>
          <w:rFonts w:ascii="Times New Roman" w:hAnsi="Times New Roman"/>
          <w:color w:val="000000"/>
          <w:szCs w:val="21"/>
        </w:rPr>
        <w:t>按照《首都师范大学研究生管理规定》执行。</w:t>
      </w:r>
    </w:p>
    <w:p>
      <w:pPr>
        <w:spacing w:line="480" w:lineRule="auto"/>
        <w:rPr>
          <w:rFonts w:ascii="Times New Roman" w:hAnsi="Times New Roman" w:eastAsia="黑体"/>
          <w:sz w:val="30"/>
          <w:szCs w:val="30"/>
        </w:rPr>
      </w:pPr>
    </w:p>
    <w:p/>
    <w:p/>
    <w:p/>
    <w:p/>
    <w:p/>
    <w:p/>
    <w:p/>
    <w:p/>
    <w:p/>
    <w:p/>
    <w:p/>
    <w:p/>
    <w:p>
      <w:pPr>
        <w:pageBreakBefore/>
        <w:spacing w:line="480" w:lineRule="auto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数学</w:t>
      </w:r>
      <w:r>
        <w:rPr>
          <w:rFonts w:hint="eastAsia" w:ascii="Times New Roman" w:hAnsi="Times New Roman" w:eastAsia="黑体"/>
          <w:sz w:val="30"/>
          <w:szCs w:val="30"/>
        </w:rPr>
        <w:t>科学学院统计学术</w:t>
      </w:r>
      <w:r>
        <w:rPr>
          <w:rFonts w:ascii="Times New Roman" w:hAnsi="Times New Roman" w:eastAsia="黑体"/>
          <w:sz w:val="30"/>
          <w:szCs w:val="30"/>
        </w:rPr>
        <w:t>硕士研究生培养方案课程设置</w:t>
      </w:r>
    </w:p>
    <w:p>
      <w:pPr>
        <w:spacing w:line="276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学科代码：071400             </w:t>
      </w:r>
    </w:p>
    <w:p>
      <w:pPr>
        <w:spacing w:line="276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学位课</w:t>
      </w:r>
    </w:p>
    <w:tbl>
      <w:tblPr>
        <w:tblStyle w:val="7"/>
        <w:tblW w:w="6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624"/>
        <w:gridCol w:w="1135"/>
        <w:gridCol w:w="1420"/>
        <w:gridCol w:w="2676"/>
        <w:gridCol w:w="19"/>
        <w:gridCol w:w="993"/>
        <w:gridCol w:w="568"/>
        <w:gridCol w:w="703"/>
        <w:gridCol w:w="7"/>
        <w:gridCol w:w="127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8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课程类型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课程编号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开课学期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学时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必修课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公共课必修课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0001502005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311" w:type="dxa"/>
            <w:gridSpan w:val="3"/>
            <w:vMerge w:val="restart"/>
            <w:vAlign w:val="center"/>
          </w:tcPr>
          <w:p>
            <w:pPr>
              <w:spacing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执行研究生院规定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0001502006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自然辩证法概论</w:t>
            </w:r>
          </w:p>
        </w:tc>
        <w:tc>
          <w:tcPr>
            <w:tcW w:w="99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0001502001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硕士基础英语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0001502002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硕士高阶英语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0002500007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27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如何写好科研论文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课程类型</w:t>
            </w: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课程编号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开课学期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学时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学分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</w:t>
            </w:r>
          </w:p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必修课</w:t>
            </w: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0701052019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高等统计学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从基础课中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至少</w:t>
            </w:r>
            <w:r>
              <w:rPr>
                <w:rFonts w:ascii="Times New Roman" w:hAnsi="Times New Roman"/>
                <w:color w:val="000000"/>
                <w:szCs w:val="21"/>
              </w:rPr>
              <w:t>选择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门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0701052018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高等概率论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0701052023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Cs w:val="21"/>
              </w:rPr>
              <w:t>最优化理论与算法（学硕）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0701052027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数据挖据与机器学习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0701052028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多元统计分析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0701052020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</w:rPr>
              <w:t>随机过程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选修课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专业选修课</w:t>
            </w: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0714052001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非参数统计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0714052002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统计计算（学硕）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0714052003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生存分析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0714052005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时间序列分析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0714052006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回归分析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0714052008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探索性数据分析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0714052009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现代生物学统计方法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0714052010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神经网络与深度学习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0714052011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量化风险管理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0714052012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统计调查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0714052014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试验设计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0714052015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分布式统计计算（并行计算）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春/秋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0714052016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文本挖掘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0714052017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渗流与离散概率模型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秋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0714052018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模型平均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0714052019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稳健统计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0714052020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抽样调查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0714052021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统计大样本理论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0714052022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生物信息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1638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before="68" w:beforeLines="22" w:after="68" w:afterLines="22"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0714052023</w:t>
            </w:r>
          </w:p>
        </w:tc>
        <w:tc>
          <w:tcPr>
            <w:tcW w:w="2695" w:type="dxa"/>
            <w:gridSpan w:val="2"/>
          </w:tcPr>
          <w:p>
            <w:r>
              <w:rPr>
                <w:rFonts w:hint="eastAsia"/>
              </w:rPr>
              <w:t>应用随机过程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春秋季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8" w:type="dxa"/>
          <w:trHeight w:val="509" w:hRule="atLeast"/>
          <w:jc w:val="center"/>
        </w:trPr>
        <w:tc>
          <w:tcPr>
            <w:tcW w:w="2759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必修环节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文献综述与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开题报告</w:t>
            </w:r>
          </w:p>
        </w:tc>
        <w:tc>
          <w:tcPr>
            <w:tcW w:w="1012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ind w:left="-105" w:leftChars="-50" w:right="-105" w:rightChars="-5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8" w:type="dxa"/>
          <w:trHeight w:val="509" w:hRule="atLeast"/>
          <w:jc w:val="center"/>
        </w:trPr>
        <w:tc>
          <w:tcPr>
            <w:tcW w:w="2759" w:type="dxa"/>
            <w:gridSpan w:val="2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中期考核</w:t>
            </w:r>
          </w:p>
        </w:tc>
        <w:tc>
          <w:tcPr>
            <w:tcW w:w="1012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ind w:left="-105" w:leftChars="-50" w:right="-105" w:rightChars="-5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8" w:type="dxa"/>
          <w:trHeight w:val="455" w:hRule="atLeast"/>
          <w:jc w:val="center"/>
        </w:trPr>
        <w:tc>
          <w:tcPr>
            <w:tcW w:w="2759" w:type="dxa"/>
            <w:gridSpan w:val="2"/>
            <w:vMerge w:val="continue"/>
          </w:tcPr>
          <w:p>
            <w:pPr>
              <w:spacing w:before="68" w:beforeLines="22" w:after="68" w:afterLines="22" w:line="288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参加学术活动</w:t>
            </w:r>
          </w:p>
        </w:tc>
        <w:tc>
          <w:tcPr>
            <w:tcW w:w="1012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28" w:type="dxa"/>
          <w:trHeight w:val="337" w:hRule="atLeast"/>
          <w:jc w:val="center"/>
        </w:trPr>
        <w:tc>
          <w:tcPr>
            <w:tcW w:w="2759" w:type="dxa"/>
            <w:gridSpan w:val="2"/>
            <w:vMerge w:val="continue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教学实践</w:t>
            </w:r>
          </w:p>
        </w:tc>
        <w:tc>
          <w:tcPr>
            <w:tcW w:w="1012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before="68" w:beforeLines="22" w:after="68" w:afterLines="22" w:line="288" w:lineRule="auto"/>
              <w:ind w:left="-105" w:leftChars="-50" w:right="-105" w:rightChars="-5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F4743"/>
    <w:multiLevelType w:val="multilevel"/>
    <w:tmpl w:val="1D7F4743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yZTZiNzM1NDI1ZTAxOTFmZjY1YjJhNGUwYTlkNjgifQ=="/>
  </w:docVars>
  <w:rsids>
    <w:rsidRoot w:val="00EE0594"/>
    <w:rsid w:val="000023D4"/>
    <w:rsid w:val="00002D7C"/>
    <w:rsid w:val="00015AAF"/>
    <w:rsid w:val="000172C3"/>
    <w:rsid w:val="00026FC2"/>
    <w:rsid w:val="000353FF"/>
    <w:rsid w:val="00052053"/>
    <w:rsid w:val="00056482"/>
    <w:rsid w:val="00062269"/>
    <w:rsid w:val="000719E7"/>
    <w:rsid w:val="000731BB"/>
    <w:rsid w:val="0007525B"/>
    <w:rsid w:val="000A0449"/>
    <w:rsid w:val="000A334B"/>
    <w:rsid w:val="000A5A89"/>
    <w:rsid w:val="000B075F"/>
    <w:rsid w:val="000B1135"/>
    <w:rsid w:val="000B287A"/>
    <w:rsid w:val="000C2E67"/>
    <w:rsid w:val="000C3B40"/>
    <w:rsid w:val="000D1FAF"/>
    <w:rsid w:val="000D45B3"/>
    <w:rsid w:val="000F2F60"/>
    <w:rsid w:val="00102D3B"/>
    <w:rsid w:val="00110C08"/>
    <w:rsid w:val="001111D7"/>
    <w:rsid w:val="00114354"/>
    <w:rsid w:val="00117286"/>
    <w:rsid w:val="001264B3"/>
    <w:rsid w:val="001277DE"/>
    <w:rsid w:val="00134355"/>
    <w:rsid w:val="00145A7D"/>
    <w:rsid w:val="0014790E"/>
    <w:rsid w:val="00154EC3"/>
    <w:rsid w:val="00157C68"/>
    <w:rsid w:val="00160691"/>
    <w:rsid w:val="00172E58"/>
    <w:rsid w:val="001772E5"/>
    <w:rsid w:val="0019350A"/>
    <w:rsid w:val="00195164"/>
    <w:rsid w:val="001A487E"/>
    <w:rsid w:val="001A4FE9"/>
    <w:rsid w:val="001B6284"/>
    <w:rsid w:val="001D1DBB"/>
    <w:rsid w:val="001D5D94"/>
    <w:rsid w:val="001E0248"/>
    <w:rsid w:val="001F359E"/>
    <w:rsid w:val="002048F1"/>
    <w:rsid w:val="00205FB3"/>
    <w:rsid w:val="0021184D"/>
    <w:rsid w:val="0021767C"/>
    <w:rsid w:val="0023252A"/>
    <w:rsid w:val="00232CBB"/>
    <w:rsid w:val="00232FA0"/>
    <w:rsid w:val="0025440B"/>
    <w:rsid w:val="00256FC4"/>
    <w:rsid w:val="00257115"/>
    <w:rsid w:val="00260FCA"/>
    <w:rsid w:val="00261AE8"/>
    <w:rsid w:val="00265554"/>
    <w:rsid w:val="00266829"/>
    <w:rsid w:val="00276786"/>
    <w:rsid w:val="002846CB"/>
    <w:rsid w:val="002B6D7D"/>
    <w:rsid w:val="002D3734"/>
    <w:rsid w:val="002E1107"/>
    <w:rsid w:val="002E11EF"/>
    <w:rsid w:val="002E17F4"/>
    <w:rsid w:val="002E2F55"/>
    <w:rsid w:val="002F42E5"/>
    <w:rsid w:val="00317926"/>
    <w:rsid w:val="0033587F"/>
    <w:rsid w:val="00337EF1"/>
    <w:rsid w:val="00345A9F"/>
    <w:rsid w:val="00352AD7"/>
    <w:rsid w:val="00357666"/>
    <w:rsid w:val="00361FB4"/>
    <w:rsid w:val="00364695"/>
    <w:rsid w:val="003703EA"/>
    <w:rsid w:val="003716D7"/>
    <w:rsid w:val="003717AF"/>
    <w:rsid w:val="00371EED"/>
    <w:rsid w:val="00386A76"/>
    <w:rsid w:val="00391C81"/>
    <w:rsid w:val="00393913"/>
    <w:rsid w:val="003A6DBC"/>
    <w:rsid w:val="003B131C"/>
    <w:rsid w:val="003B53BC"/>
    <w:rsid w:val="003B6F99"/>
    <w:rsid w:val="003C076D"/>
    <w:rsid w:val="003C308D"/>
    <w:rsid w:val="003C3B14"/>
    <w:rsid w:val="003D008C"/>
    <w:rsid w:val="003D3C7A"/>
    <w:rsid w:val="003E46AA"/>
    <w:rsid w:val="003E52EB"/>
    <w:rsid w:val="003F6E1E"/>
    <w:rsid w:val="004009D7"/>
    <w:rsid w:val="004104AE"/>
    <w:rsid w:val="00422ABF"/>
    <w:rsid w:val="00430B6F"/>
    <w:rsid w:val="0043153E"/>
    <w:rsid w:val="00431F03"/>
    <w:rsid w:val="004354BA"/>
    <w:rsid w:val="00441164"/>
    <w:rsid w:val="004944A0"/>
    <w:rsid w:val="00496C8E"/>
    <w:rsid w:val="004B0073"/>
    <w:rsid w:val="004B69AF"/>
    <w:rsid w:val="004B6A8E"/>
    <w:rsid w:val="004C1445"/>
    <w:rsid w:val="004C1796"/>
    <w:rsid w:val="004D3CC7"/>
    <w:rsid w:val="004D41E5"/>
    <w:rsid w:val="004D486A"/>
    <w:rsid w:val="004E1648"/>
    <w:rsid w:val="004E3C36"/>
    <w:rsid w:val="004E53F1"/>
    <w:rsid w:val="004F1256"/>
    <w:rsid w:val="004F4BA9"/>
    <w:rsid w:val="00505C01"/>
    <w:rsid w:val="00524890"/>
    <w:rsid w:val="00531E8D"/>
    <w:rsid w:val="005347AE"/>
    <w:rsid w:val="005359AF"/>
    <w:rsid w:val="005752DC"/>
    <w:rsid w:val="00577718"/>
    <w:rsid w:val="00580106"/>
    <w:rsid w:val="00582634"/>
    <w:rsid w:val="00582B90"/>
    <w:rsid w:val="005934EC"/>
    <w:rsid w:val="00593DA6"/>
    <w:rsid w:val="005B1C3A"/>
    <w:rsid w:val="005B32A2"/>
    <w:rsid w:val="005C516F"/>
    <w:rsid w:val="005D3D53"/>
    <w:rsid w:val="005F1F27"/>
    <w:rsid w:val="006132EB"/>
    <w:rsid w:val="006154D8"/>
    <w:rsid w:val="00623CA9"/>
    <w:rsid w:val="00636737"/>
    <w:rsid w:val="00637334"/>
    <w:rsid w:val="00643162"/>
    <w:rsid w:val="006443C3"/>
    <w:rsid w:val="006512EC"/>
    <w:rsid w:val="00663B36"/>
    <w:rsid w:val="00663C88"/>
    <w:rsid w:val="00665A7B"/>
    <w:rsid w:val="006715BE"/>
    <w:rsid w:val="00674CF9"/>
    <w:rsid w:val="006B4FA3"/>
    <w:rsid w:val="006C4A26"/>
    <w:rsid w:val="006D04D6"/>
    <w:rsid w:val="006D4D58"/>
    <w:rsid w:val="006D6D28"/>
    <w:rsid w:val="006E553C"/>
    <w:rsid w:val="006F08A7"/>
    <w:rsid w:val="006F6B19"/>
    <w:rsid w:val="006F7E5A"/>
    <w:rsid w:val="007062AA"/>
    <w:rsid w:val="00711CE2"/>
    <w:rsid w:val="007154C6"/>
    <w:rsid w:val="00730808"/>
    <w:rsid w:val="0074040E"/>
    <w:rsid w:val="00744685"/>
    <w:rsid w:val="00754F20"/>
    <w:rsid w:val="007735FF"/>
    <w:rsid w:val="007740A6"/>
    <w:rsid w:val="007761F7"/>
    <w:rsid w:val="00777CA1"/>
    <w:rsid w:val="007821A6"/>
    <w:rsid w:val="00785FEE"/>
    <w:rsid w:val="00787FD7"/>
    <w:rsid w:val="007912B2"/>
    <w:rsid w:val="007A7CA2"/>
    <w:rsid w:val="007B1A7A"/>
    <w:rsid w:val="007B47E1"/>
    <w:rsid w:val="007B6F4B"/>
    <w:rsid w:val="007C2DD8"/>
    <w:rsid w:val="007D0C91"/>
    <w:rsid w:val="007D56D1"/>
    <w:rsid w:val="007E1027"/>
    <w:rsid w:val="007E43CF"/>
    <w:rsid w:val="00807540"/>
    <w:rsid w:val="00824469"/>
    <w:rsid w:val="00826683"/>
    <w:rsid w:val="008350AE"/>
    <w:rsid w:val="008425CB"/>
    <w:rsid w:val="00845A01"/>
    <w:rsid w:val="00845A97"/>
    <w:rsid w:val="00857D32"/>
    <w:rsid w:val="00865B06"/>
    <w:rsid w:val="00870CD4"/>
    <w:rsid w:val="008711A0"/>
    <w:rsid w:val="00884356"/>
    <w:rsid w:val="00887804"/>
    <w:rsid w:val="0089513C"/>
    <w:rsid w:val="00897543"/>
    <w:rsid w:val="008A1DAA"/>
    <w:rsid w:val="008B4D0F"/>
    <w:rsid w:val="008B4EF4"/>
    <w:rsid w:val="008C0271"/>
    <w:rsid w:val="008C402D"/>
    <w:rsid w:val="008D5EE7"/>
    <w:rsid w:val="008E0980"/>
    <w:rsid w:val="008F7424"/>
    <w:rsid w:val="00904E7D"/>
    <w:rsid w:val="00910C2D"/>
    <w:rsid w:val="00911372"/>
    <w:rsid w:val="009122DA"/>
    <w:rsid w:val="009129BB"/>
    <w:rsid w:val="009140C3"/>
    <w:rsid w:val="00914F82"/>
    <w:rsid w:val="00915C6B"/>
    <w:rsid w:val="00924EEF"/>
    <w:rsid w:val="00931EAE"/>
    <w:rsid w:val="00932721"/>
    <w:rsid w:val="00934CE5"/>
    <w:rsid w:val="00941E8E"/>
    <w:rsid w:val="009537AD"/>
    <w:rsid w:val="00953E1D"/>
    <w:rsid w:val="009540D0"/>
    <w:rsid w:val="0096114A"/>
    <w:rsid w:val="00972832"/>
    <w:rsid w:val="00972B4C"/>
    <w:rsid w:val="009770D0"/>
    <w:rsid w:val="009810D7"/>
    <w:rsid w:val="00981A5A"/>
    <w:rsid w:val="00982482"/>
    <w:rsid w:val="009844DD"/>
    <w:rsid w:val="00986560"/>
    <w:rsid w:val="00990D41"/>
    <w:rsid w:val="00994176"/>
    <w:rsid w:val="009A30C9"/>
    <w:rsid w:val="009A4ED3"/>
    <w:rsid w:val="009A50EF"/>
    <w:rsid w:val="009B4A12"/>
    <w:rsid w:val="009B7036"/>
    <w:rsid w:val="009B7D09"/>
    <w:rsid w:val="009C3171"/>
    <w:rsid w:val="009C3344"/>
    <w:rsid w:val="009C77C7"/>
    <w:rsid w:val="009E7EB5"/>
    <w:rsid w:val="00A21705"/>
    <w:rsid w:val="00A3292B"/>
    <w:rsid w:val="00A4457F"/>
    <w:rsid w:val="00A51FAB"/>
    <w:rsid w:val="00A7367A"/>
    <w:rsid w:val="00A745E7"/>
    <w:rsid w:val="00A85C29"/>
    <w:rsid w:val="00A86387"/>
    <w:rsid w:val="00AB3AED"/>
    <w:rsid w:val="00AB3CC4"/>
    <w:rsid w:val="00AB61C2"/>
    <w:rsid w:val="00AC1C9C"/>
    <w:rsid w:val="00AD3900"/>
    <w:rsid w:val="00AE56E6"/>
    <w:rsid w:val="00AF32D1"/>
    <w:rsid w:val="00AF41AF"/>
    <w:rsid w:val="00B03D16"/>
    <w:rsid w:val="00B04CC7"/>
    <w:rsid w:val="00B0515A"/>
    <w:rsid w:val="00B14FAA"/>
    <w:rsid w:val="00B2034C"/>
    <w:rsid w:val="00B31F5E"/>
    <w:rsid w:val="00B40D04"/>
    <w:rsid w:val="00B4226C"/>
    <w:rsid w:val="00B43E23"/>
    <w:rsid w:val="00B76050"/>
    <w:rsid w:val="00B76DAA"/>
    <w:rsid w:val="00B83B56"/>
    <w:rsid w:val="00B850FD"/>
    <w:rsid w:val="00B87390"/>
    <w:rsid w:val="00B94A26"/>
    <w:rsid w:val="00BA0BAB"/>
    <w:rsid w:val="00BB11F4"/>
    <w:rsid w:val="00BC0D3B"/>
    <w:rsid w:val="00BD2DB6"/>
    <w:rsid w:val="00BF0C66"/>
    <w:rsid w:val="00C0140C"/>
    <w:rsid w:val="00C07D69"/>
    <w:rsid w:val="00C16E5C"/>
    <w:rsid w:val="00C21FF6"/>
    <w:rsid w:val="00C2238C"/>
    <w:rsid w:val="00C320E8"/>
    <w:rsid w:val="00C34E87"/>
    <w:rsid w:val="00C46000"/>
    <w:rsid w:val="00C50A6D"/>
    <w:rsid w:val="00C53CE4"/>
    <w:rsid w:val="00C56AEA"/>
    <w:rsid w:val="00C56BCF"/>
    <w:rsid w:val="00C6128B"/>
    <w:rsid w:val="00C61840"/>
    <w:rsid w:val="00C61A42"/>
    <w:rsid w:val="00C76314"/>
    <w:rsid w:val="00C81362"/>
    <w:rsid w:val="00CA2428"/>
    <w:rsid w:val="00CA7C14"/>
    <w:rsid w:val="00CB6881"/>
    <w:rsid w:val="00CC2239"/>
    <w:rsid w:val="00CD0CA2"/>
    <w:rsid w:val="00CE1BB7"/>
    <w:rsid w:val="00CE1E52"/>
    <w:rsid w:val="00CF39CA"/>
    <w:rsid w:val="00CF4D6B"/>
    <w:rsid w:val="00CF588C"/>
    <w:rsid w:val="00D045DB"/>
    <w:rsid w:val="00D06841"/>
    <w:rsid w:val="00D11560"/>
    <w:rsid w:val="00D26D25"/>
    <w:rsid w:val="00D42C4D"/>
    <w:rsid w:val="00D52F01"/>
    <w:rsid w:val="00D61B6C"/>
    <w:rsid w:val="00D65D64"/>
    <w:rsid w:val="00D66638"/>
    <w:rsid w:val="00D73C6B"/>
    <w:rsid w:val="00D80D0A"/>
    <w:rsid w:val="00D85E96"/>
    <w:rsid w:val="00DA17F7"/>
    <w:rsid w:val="00DA44B5"/>
    <w:rsid w:val="00DE577F"/>
    <w:rsid w:val="00DE6070"/>
    <w:rsid w:val="00E0043B"/>
    <w:rsid w:val="00E0712C"/>
    <w:rsid w:val="00E1564F"/>
    <w:rsid w:val="00E21A2D"/>
    <w:rsid w:val="00E227F5"/>
    <w:rsid w:val="00E22942"/>
    <w:rsid w:val="00E31C5A"/>
    <w:rsid w:val="00E34620"/>
    <w:rsid w:val="00E44D60"/>
    <w:rsid w:val="00E4769C"/>
    <w:rsid w:val="00E600DE"/>
    <w:rsid w:val="00E65C2C"/>
    <w:rsid w:val="00E72E60"/>
    <w:rsid w:val="00E826C4"/>
    <w:rsid w:val="00E83528"/>
    <w:rsid w:val="00E84DEA"/>
    <w:rsid w:val="00E90DB9"/>
    <w:rsid w:val="00E958EF"/>
    <w:rsid w:val="00EB27DE"/>
    <w:rsid w:val="00EB79F3"/>
    <w:rsid w:val="00EC29BE"/>
    <w:rsid w:val="00ED4B37"/>
    <w:rsid w:val="00EE0594"/>
    <w:rsid w:val="00EF5BBA"/>
    <w:rsid w:val="00F05D81"/>
    <w:rsid w:val="00F063FC"/>
    <w:rsid w:val="00F12293"/>
    <w:rsid w:val="00F1747F"/>
    <w:rsid w:val="00F17556"/>
    <w:rsid w:val="00F34539"/>
    <w:rsid w:val="00F34770"/>
    <w:rsid w:val="00F35DF2"/>
    <w:rsid w:val="00F403B2"/>
    <w:rsid w:val="00F45DC6"/>
    <w:rsid w:val="00F520CF"/>
    <w:rsid w:val="00F60B74"/>
    <w:rsid w:val="00F71AAF"/>
    <w:rsid w:val="00F71C0B"/>
    <w:rsid w:val="00F7512A"/>
    <w:rsid w:val="00F76AE8"/>
    <w:rsid w:val="00F83B71"/>
    <w:rsid w:val="00F858C8"/>
    <w:rsid w:val="00F87A59"/>
    <w:rsid w:val="00F97FDA"/>
    <w:rsid w:val="00FA3596"/>
    <w:rsid w:val="00FB1A92"/>
    <w:rsid w:val="00FB2316"/>
    <w:rsid w:val="00FB5C4F"/>
    <w:rsid w:val="00FC33CA"/>
    <w:rsid w:val="00FF01FB"/>
    <w:rsid w:val="32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rFonts w:ascii="Calibri" w:hAnsi="Calibri" w:eastAsia="宋体" w:cs="Times New Roman"/>
    </w:rPr>
  </w:style>
  <w:style w:type="character" w:customStyle="1" w:styleId="16">
    <w:name w:val="批注主题 Char"/>
    <w:basedOn w:val="15"/>
    <w:link w:val="6"/>
    <w:semiHidden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031E-8F5B-4659-90A3-E75B9914D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2399</Words>
  <Characters>2751</Characters>
  <Lines>22</Lines>
  <Paragraphs>6</Paragraphs>
  <TotalTime>132</TotalTime>
  <ScaleCrop>false</ScaleCrop>
  <LinksUpToDate>false</LinksUpToDate>
  <CharactersWithSpaces>2815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2021-06-29T07:40:00Z</dcterms:created>
  <dc:creator>ZQL</dc:creator>
  <cp:lastModifiedBy>张翀</cp:lastModifiedBy>
  <dcterms:modified xsi:type="dcterms:W3CDTF">2022-06-17T08:19:22Z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A0FCCE5E542B4DD392EFB71B1662274A</vt:lpwstr>
  </property>
</Properties>
</file>